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Педагогика Средневековья</w:t>
      </w:r>
    </w:p>
    <w:p w:rsid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Фома Аквинский </w:t>
      </w: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Теология и философия. Ступени истины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Аквинат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разграничивал области философии и теологии: предметом первой являются «истины разума», а второй — «истины откровения». Философия находится в услужении у теологии и настолько же ниже её по значимости, насколько ограниченный человеческий разум ниже божественной премудрости. Теология — священное учение и наука, основывается на знании, которым обладает Бог и те, кто удостоен блаженства. Приобщение к божественному знани</w:t>
      </w:r>
      <w:r>
        <w:rPr>
          <w:rFonts w:ascii="Times New Roman" w:hAnsi="Times New Roman" w:cs="Times New Roman"/>
          <w:sz w:val="28"/>
          <w:szCs w:val="28"/>
        </w:rPr>
        <w:t>ю достигается через откровения.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Теология может что-то позаимствовать у философских дисциплин, но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потому что испытывает в этом необходимость, а лишь ради большей доходчиво</w:t>
      </w:r>
      <w:r>
        <w:rPr>
          <w:rFonts w:ascii="Times New Roman" w:hAnsi="Times New Roman" w:cs="Times New Roman"/>
          <w:sz w:val="28"/>
          <w:szCs w:val="28"/>
        </w:rPr>
        <w:t>сти преподаваемых ею положений.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У Аристотеля выделялись четыре последовательных ступени истины: опыт (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empeiria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), искусство (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techne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), знание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episteme</w:t>
      </w:r>
      <w:proofErr w:type="spellEnd"/>
      <w:r>
        <w:rPr>
          <w:rFonts w:ascii="Times New Roman" w:hAnsi="Times New Roman" w:cs="Times New Roman"/>
          <w:sz w:val="28"/>
          <w:szCs w:val="28"/>
        </w:rPr>
        <w:t>) и мудрость (</w:t>
      </w:r>
      <w:proofErr w:type="spellStart"/>
      <w:r>
        <w:rPr>
          <w:rFonts w:ascii="Times New Roman" w:hAnsi="Times New Roman" w:cs="Times New Roman"/>
          <w:sz w:val="28"/>
          <w:szCs w:val="28"/>
        </w:rPr>
        <w:t>sophia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У Фомы Аквинского мудрость становится независимой от других ступеней, высшим знанием о Боге. Она основывает</w:t>
      </w:r>
      <w:r>
        <w:rPr>
          <w:rFonts w:ascii="Times New Roman" w:hAnsi="Times New Roman" w:cs="Times New Roman"/>
          <w:sz w:val="28"/>
          <w:szCs w:val="28"/>
        </w:rPr>
        <w:t>ся на божественных откровениях.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Аквинат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выделял три иерархически соподчиненных типа мудрости, каждый из которых наделён своим «светом истины»: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мудрость Благодати;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мудрость богословская — мудрость веры, использующая разум;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мудрость метафизическая — мудрость разума, постигающая сущность бытия.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Некоторые истины Откровения доступны для понимания разумом человека: например, что Бог существует, что Бог един. Другие — понять невозможно: например, божественное три</w:t>
      </w:r>
      <w:r>
        <w:rPr>
          <w:rFonts w:ascii="Times New Roman" w:hAnsi="Times New Roman" w:cs="Times New Roman"/>
          <w:sz w:val="28"/>
          <w:szCs w:val="28"/>
        </w:rPr>
        <w:t xml:space="preserve">единство, воскрешение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плоти.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На основе этого Фома Аквинский выводит необходимость различать теологию сверхъестественную, основанную на истинах Откровения, которые человек своими силами не способен понять, и теологию рациональную, основанную на «естественном свете разума» (познающую истину с</w:t>
      </w:r>
      <w:r>
        <w:rPr>
          <w:rFonts w:ascii="Times New Roman" w:hAnsi="Times New Roman" w:cs="Times New Roman"/>
          <w:sz w:val="28"/>
          <w:szCs w:val="28"/>
        </w:rPr>
        <w:t>илой человеческого интеллекта).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Фома Аквинский выдвинул принцип: истины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науки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и истины веры не могут противоречить друг другу; между ними существует гармония. Мудрость — стремление постичь Бога, наука же — способствующее этому средство.</w:t>
      </w: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lastRenderedPageBreak/>
        <w:t>О бытии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Акт бытия, будучи актом актов и совершенством совершенств, пребывает внутри всякого «сущего» как его сокровенная глубина, как </w:t>
      </w:r>
      <w:r>
        <w:rPr>
          <w:rFonts w:ascii="Times New Roman" w:hAnsi="Times New Roman" w:cs="Times New Roman"/>
          <w:sz w:val="28"/>
          <w:szCs w:val="28"/>
        </w:rPr>
        <w:t>его подлинная действительность.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Каждой вещи существование несравненно более важно, чем её сущность. Единичная вещь существует не благодаря своей сущности, потому что сущность никак не имплицирует (подразумевает) существование, а благодаря сопричастности ак</w:t>
      </w:r>
      <w:r>
        <w:rPr>
          <w:rFonts w:ascii="Times New Roman" w:hAnsi="Times New Roman" w:cs="Times New Roman"/>
          <w:sz w:val="28"/>
          <w:szCs w:val="28"/>
        </w:rPr>
        <w:t>ту творения, то есть воле Бога.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Мир — совокупность субстанций, зависимых своим существованием от Бога. Только в Боге сущность и существование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нераздельны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и тождественны.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Фома Аквинский различал два вида существования: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существование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самосущностное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или безусловное.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существование случайное или зависимое.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Только Бог — подлинное, истинное бытие. Всё остальное существующее в мире обладает не подлинным бытием (даже ангелы, стоящие на высшей ступени в иерархии всех творений). Чем выше стоят «творения», на ступенях иерархии, тем большей автономией и самостоятельностью они обладают.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Бог творит не сущности, чтобы потом заставить их существовать, а существующие субъекты (основания),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бытийствующие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в соответствии со своей индивидуальной природой (сущностью).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О материи и форме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Сущность всего телесного заключается в единстве формы и материи. Фома Аквинский, как и Аристотель, рассматривал материю пассивным субстратом, основой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индивидуации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. И лишь благодаря форме вещь является в</w:t>
      </w:r>
      <w:r>
        <w:rPr>
          <w:rFonts w:ascii="Times New Roman" w:hAnsi="Times New Roman" w:cs="Times New Roman"/>
          <w:sz w:val="28"/>
          <w:szCs w:val="28"/>
        </w:rPr>
        <w:t>ещью определенного рода и вида.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72A8C">
        <w:rPr>
          <w:rFonts w:ascii="Times New Roman" w:hAnsi="Times New Roman" w:cs="Times New Roman"/>
          <w:sz w:val="28"/>
          <w:szCs w:val="28"/>
        </w:rPr>
        <w:t>Аквинат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различал с одной стороны субстанциональную (через неё субстанция как таковая утверждается в своем бытии) и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акцидентальную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(случайную) формы; а с другой стороны — материальную (имеет собственное бытие лишь в материи) и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субсистентную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(имеет собственное бытие и деятельна без всякой материи) формы.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Все духовные существа являются сложными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субсистентными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формами. Чисто духовные — ангелы — имеют сущность и существование. В человеке заключена двойная сложность: в нём различаются не только сущность и существование, но также материя и форма.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2A8C">
        <w:rPr>
          <w:rFonts w:ascii="Times New Roman" w:hAnsi="Times New Roman" w:cs="Times New Roman"/>
          <w:sz w:val="28"/>
          <w:szCs w:val="28"/>
        </w:rPr>
        <w:lastRenderedPageBreak/>
        <w:t xml:space="preserve">Фома Аквинский рассматривал принцип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индивидуации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: форма - не единственная причина вещи (иначе все индивиды одного вида были бы неразличимы), поэтому был сделан вывод — в духовных существах формы индивидуализируются через самих себя (потому что каждое из них — отдельный вид); в телесных же существах индивидуализация происходит не через их сущность, а через собственную материальность, количественно огр</w:t>
      </w:r>
      <w:r>
        <w:rPr>
          <w:rFonts w:ascii="Times New Roman" w:hAnsi="Times New Roman" w:cs="Times New Roman"/>
          <w:sz w:val="28"/>
          <w:szCs w:val="28"/>
        </w:rPr>
        <w:t>аниченную в отдельном индивиде.</w:t>
      </w:r>
      <w:proofErr w:type="gramEnd"/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Таким образом «вещь» принимает определенную форму, отражающую духовную уникальность</w:t>
      </w:r>
      <w:r>
        <w:rPr>
          <w:rFonts w:ascii="Times New Roman" w:hAnsi="Times New Roman" w:cs="Times New Roman"/>
          <w:sz w:val="28"/>
          <w:szCs w:val="28"/>
        </w:rPr>
        <w:t xml:space="preserve"> в ограниченной материальности.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Совершенство формы рассматривалось как наибольшее подобие самого Бога.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О человеке и его душе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Индивидуальность человека — л</w:t>
      </w:r>
      <w:r>
        <w:rPr>
          <w:rFonts w:ascii="Times New Roman" w:hAnsi="Times New Roman" w:cs="Times New Roman"/>
          <w:sz w:val="28"/>
          <w:szCs w:val="28"/>
        </w:rPr>
        <w:t>ичностное единство души и тела.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Душа — животворящая сила человеческого организма; она нематериальна и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самосущна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; она — субстанция, обретающая свою полноту лишь в единстве с телом, благодаря ей телесность обретает значимость — становясь человеком. В единстве души и тела рождаются мысли, чувства и целеполаг</w:t>
      </w:r>
      <w:r>
        <w:rPr>
          <w:rFonts w:ascii="Times New Roman" w:hAnsi="Times New Roman" w:cs="Times New Roman"/>
          <w:sz w:val="28"/>
          <w:szCs w:val="28"/>
        </w:rPr>
        <w:t>ания. Душа человека бессмертна.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Фома Аквинский считал, что сила разумения души (то есть степень познания ею Бога) определ</w:t>
      </w:r>
      <w:r>
        <w:rPr>
          <w:rFonts w:ascii="Times New Roman" w:hAnsi="Times New Roman" w:cs="Times New Roman"/>
          <w:sz w:val="28"/>
          <w:szCs w:val="28"/>
        </w:rPr>
        <w:t>яет красоту человеческого тела.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Конечная цель жизни человека — достижение блаженства, обретаемого в со</w:t>
      </w:r>
      <w:r>
        <w:rPr>
          <w:rFonts w:ascii="Times New Roman" w:hAnsi="Times New Roman" w:cs="Times New Roman"/>
          <w:sz w:val="28"/>
          <w:szCs w:val="28"/>
        </w:rPr>
        <w:t>зерцании Бога в загробном мире.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По своему положению человек — промежуточное существо между тварями (животными) и ангелами. В ряду телесных созданий — он высшее существо, его отличает разумная душа и свободная воля. В силу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последней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человек ответственен за свои поступки</w:t>
      </w:r>
      <w:r>
        <w:rPr>
          <w:rFonts w:ascii="Times New Roman" w:hAnsi="Times New Roman" w:cs="Times New Roman"/>
          <w:sz w:val="28"/>
          <w:szCs w:val="28"/>
        </w:rPr>
        <w:t>. А корень его свободы — разум.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Человек отличается от животного мира наличием способности познания и, на основании этого, способностью совершать свободный осознанный выбор: именно интеллект и свободная (от какой-либо внешней необходимости) воля являются основаниями совершения подлинно человеческих действий (в отличие от действий, свойственных как человеку, так и животному), принадлежащих к сфере этического.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 xml:space="preserve">Во взаимоотношении двух высших способностей человека — интеллекта и воли, преимущество принадлежит интеллекту (положение, вызвавшее полемику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томистов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скотистов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), поскольку воля с необходимостью следует интеллекту, представляющего для неё то или иное сущее, как благое; однако при совершении действия в конкретных обстоятельствах и при помощи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>определенных средств на первый план выходит волевое усилие (О зле, 6).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Наряду с собственными усилиями человека для совершения благих действий требуется также божественная благодать, не устраняющая своеобразие человеческой природы, а совершенствующая её. Также божественное управление миром и предвидение всех (в том числе индивидуальных и случайных) событий не исключает свободы выбора: Бог, как наивысшая причина, допускает самостоятельные действия вторичных причин, в том числе и влекущие за собой негативные нравственные последствия, поскольку Бог в состоянии обращать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благу зло, сотворенное самостоятельными агентами.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О познании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Фома Аквинский считал, что универсалии (то есть понятия вещей) существуют трояко: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«до вещей», как архетипы — в божественном интеллекте как вечные идеальные прообразы вещей (платонизм, крайний реализм).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«в вещах» или субстанциях, как их сущность (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аристотелизм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, умеренный реализм).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«после вещей» — в мышлении человека в результате операций абстрагирования и обобщен</w:t>
      </w:r>
      <w:r>
        <w:rPr>
          <w:rFonts w:ascii="Times New Roman" w:hAnsi="Times New Roman" w:cs="Times New Roman"/>
          <w:sz w:val="28"/>
          <w:szCs w:val="28"/>
        </w:rPr>
        <w:t xml:space="preserve">ия (номинализм, концептуализм) </w:t>
      </w:r>
    </w:p>
    <w:p w:rsidR="00872A8C" w:rsidRPr="00872A8C" w:rsidRDefault="00872A8C" w:rsidP="00872A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Сам Фома Аквинский придерживался позиции умеренного реализма, восходящей к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аристотелевскому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гилеморфизму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>, отказавшись от позиций крайнего реализма, опирающихся на платони</w:t>
      </w:r>
      <w:r>
        <w:rPr>
          <w:rFonts w:ascii="Times New Roman" w:hAnsi="Times New Roman" w:cs="Times New Roman"/>
          <w:sz w:val="28"/>
          <w:szCs w:val="28"/>
        </w:rPr>
        <w:t xml:space="preserve">зм в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августиновской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версии.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Вслед за Аристотелем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Аквинат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различает </w:t>
      </w:r>
      <w:r>
        <w:rPr>
          <w:rFonts w:ascii="Times New Roman" w:hAnsi="Times New Roman" w:cs="Times New Roman"/>
          <w:sz w:val="28"/>
          <w:szCs w:val="28"/>
        </w:rPr>
        <w:t>пассивный и активный интеллект.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Фома Аквинский отрицал врожденные идеи и понятия, а интеллект до начала познания считал подобным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tabula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rasa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(лат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истая доска»). Однако людям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прирожденны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«общие схемы», которые начинают действовать в момент столкновения с чувственным материалом.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пассивный интеллект — интеллект, в который попадает чувственно воспринимаемый образ.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активный интеллект — абстрагирование от чувств, обобщение; возникновение понятия.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Познание начинается с чувственного опыта под действием внешних объектов. Объекты человеком воспринимаются не целиком, а частично.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При вхождении в душу познающего познаваемое теряет свою материальность и может войти в неё лишь в качестве «вида».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«Вид» предмета является его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>познаваемым образом. Вещь существует одновременно вне нас во всем своем бытии и внутри нас в качестве образа.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Истина — это «соответствие интеллекта и вещи». То есть понятия, образуемые человеческим интеллектом, истинны в той мере, в какой они соответствуют своим понятиям, предшествующим в интеллекте Бога.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На уровне внешних чувств создаются первоначальные познавательные образы. Внутренние чувства обрабатывают первоначальные образы.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Внутренние чувства: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общее чувство — главная функция, цель которого собирать воедино все ощущения.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пассивная память — хранилище впечатлений и образов, созданных общим чувством.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активная память — извлечение сохраненных образов и представлений.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интеллект — наивысшая чувственная способность.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Познание свой необходимый исток берет в чувственности. Но чем выше духовность, тем выше степень познания.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Ангельское познание — умозрительно-интуитивное познание, не опосредованное чувственным опытом; осуществляется с помощью присущих понятий.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Человеческое познание — обогащение души субстанциональными формами познаваемых предметов.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Три умственно-познавательных операции: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создание понятия и задержка внимания на его содержании (созерцание).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суждение (позитивное, негативное, экзистенциональное) или сопоставление понятий;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умозаключение — связывание суждений друг с другом.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Три вида познания: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ум — вся сфера духовных способностей.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интеллект — способность умственного познания.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разум — способность к рассуждению.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lastRenderedPageBreak/>
        <w:t xml:space="preserve">Познание — есть самая благородная деятельность человека: теоретический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разум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постигающий истины, постигает и абсолютную истину, то есть Бога.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Этика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Будучи первопричиной всех вещей, Бог, вместе с тем, является конечной целью их устремлений; конечной целью морально благих человеческих действий является достижение блаженства, состоящее в созерцании Бога (невозможного, согласно Фоме, в пределах настоящей жизни), все остальные цели оцениваются в зависимости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упорядоченной направленности на конечную цель, уклонение от которой представляет собой зло, коренящееся в недостатке существования и не являющееся некоторой самостоятельной сущностью (О зле, 1). Вместе с тем Фома отдавал должное деятельности, направленной на достижение земных, конечных форм блаженства.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Началами собственно нравственных деяний с внутренней стороны являются добродетели, с внешней — законы и благодать.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Фома анализирует добродетели (навыки, позволяющие людям устойчиво использовать свои способности во б</w:t>
      </w:r>
      <w:r>
        <w:rPr>
          <w:rFonts w:ascii="Times New Roman" w:hAnsi="Times New Roman" w:cs="Times New Roman"/>
          <w:sz w:val="28"/>
          <w:szCs w:val="28"/>
        </w:rPr>
        <w:t>лаго (Сумма теологии) и противостоящие им пороки</w:t>
      </w:r>
      <w:r w:rsidRPr="00872A8C">
        <w:rPr>
          <w:rFonts w:ascii="Times New Roman" w:hAnsi="Times New Roman" w:cs="Times New Roman"/>
          <w:sz w:val="28"/>
          <w:szCs w:val="28"/>
        </w:rPr>
        <w:t>, следуя аристотелевской традиции, однако он полагает, что для достижения вечного счастья помимо добродетелей существует необходимость в дарах, блаженствах и плодах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в. Духа. Нравственную жизнь Фома не мыслит вне наличия теологических добродетелей — веры, надежды и любви.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Вслед за теологическими идут четыре «кардинальные» (основополагающие) добродетели — благоразумие и справедливость, мужество и умеренность, с которыми связаны остальные добродетели.</w:t>
      </w:r>
      <w:proofErr w:type="gramEnd"/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Политика и право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 </w:t>
      </w:r>
      <w:r w:rsidRPr="00872A8C">
        <w:rPr>
          <w:rFonts w:ascii="Times New Roman" w:hAnsi="Times New Roman" w:cs="Times New Roman"/>
          <w:sz w:val="28"/>
          <w:szCs w:val="28"/>
        </w:rPr>
        <w:t xml:space="preserve">определяется как «любое повеление разума, которое провозглашается ради общего блага тем, </w:t>
      </w:r>
      <w:r>
        <w:rPr>
          <w:rFonts w:ascii="Times New Roman" w:hAnsi="Times New Roman" w:cs="Times New Roman"/>
          <w:sz w:val="28"/>
          <w:szCs w:val="28"/>
        </w:rPr>
        <w:t xml:space="preserve">кто печется об общественности».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Вечный закон</w:t>
      </w:r>
      <w:r w:rsidRPr="00872A8C">
        <w:rPr>
          <w:rFonts w:ascii="Times New Roman" w:hAnsi="Times New Roman" w:cs="Times New Roman"/>
          <w:sz w:val="28"/>
          <w:szCs w:val="28"/>
        </w:rPr>
        <w:t xml:space="preserve">, посредством которого божественное провидение управляет миром, не делает излишним другие виды закона, проистекающие от него: естественный закон, принципом которого является основной постулат </w:t>
      </w:r>
      <w:proofErr w:type="spellStart"/>
      <w:r w:rsidRPr="00872A8C">
        <w:rPr>
          <w:rFonts w:ascii="Times New Roman" w:hAnsi="Times New Roman" w:cs="Times New Roman"/>
          <w:sz w:val="28"/>
          <w:szCs w:val="28"/>
        </w:rPr>
        <w:t>томистской</w:t>
      </w:r>
      <w:proofErr w:type="spellEnd"/>
      <w:r w:rsidRPr="00872A8C">
        <w:rPr>
          <w:rFonts w:ascii="Times New Roman" w:hAnsi="Times New Roman" w:cs="Times New Roman"/>
          <w:sz w:val="28"/>
          <w:szCs w:val="28"/>
        </w:rPr>
        <w:t xml:space="preserve"> этики — «надлежит стремиться к благу и совершать благое, зло же надлежит избегать», известен в достаточной мере каждому</w:t>
      </w:r>
      <w:r>
        <w:rPr>
          <w:rFonts w:ascii="Times New Roman" w:hAnsi="Times New Roman" w:cs="Times New Roman"/>
          <w:sz w:val="28"/>
          <w:szCs w:val="28"/>
        </w:rPr>
        <w:t xml:space="preserve"> человеку, и человеческий закон</w:t>
      </w:r>
      <w:r w:rsidRPr="00872A8C">
        <w:rPr>
          <w:rFonts w:ascii="Times New Roman" w:hAnsi="Times New Roman" w:cs="Times New Roman"/>
          <w:sz w:val="28"/>
          <w:szCs w:val="28"/>
        </w:rPr>
        <w:t>, конкретизирующий постулаты естественного закона (определяя, например, конкретную форму наказания за совершенное зло), который необходим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, поскольку совершенство в добродетели зависит от упражнения и удержания от недобродетельных наклонностей, и силу которого Фома ограничивает совестью, противящейся несправедливому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 xml:space="preserve">закону. Исторически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сложившееся позитивное законодательство, являющееся продуктом человеческих установлений может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быть, при определенных условиях, изменено. Благо отдельного человека, общества и универсума определяется божественным замыслом, и нарушение человеком божественных законов является действием, направленным против его собственного блага.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Следуя Аристотелю, Фома полагал для человека естественной общественную жизнь, требующую управления ради общего блага. Фома выделял шесть форм правления: в зависимости от принадлежности власти одному, немногим или многим и в зависимости от того, исполняет ли данная форма правления надлежащую цель — сохранение мира и общего блага, или же преследует частные цели правителей, противоречащие общественному благу. Справедливые формы правления — монархия, аристократия и полисная система, несправедливые — тирания, олигархия и демократия. Наилучшая форма правления — монархия, поскольку движение к общему благу наиболее эффективно осуществляется, направляясь единым источником; соответственно наихудшая форма правления — тирания, поскольку зло, осуществляемое волей одного, больше, чем зло, проистекающее из множества различных воль, кроме того демократия лучше тирании тем, что служит благу многих, а не одного. Фома оправдывал борьбу с тиранией, особенно если установления тирана явно противоречат божественным установлениям (например, принуждая к идолопоклонству). Единовластие справедливого монарха должно учитывать интересы различных групп населения и не исключает элементов аристократии и полисной демократии. Церковную власть Фома ставил выше светской, ввиду того, что первая направлена на достижение божественного блаженства, в то время как последняя ограничивается преследованием лишь земного блага; однако для реализации этой задачи необходима помощь высших сил и благодати.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A8C">
        <w:rPr>
          <w:rFonts w:ascii="Times New Roman" w:hAnsi="Times New Roman" w:cs="Times New Roman"/>
          <w:b/>
          <w:sz w:val="28"/>
          <w:szCs w:val="28"/>
        </w:rPr>
        <w:t>5 доказательств бытия Бога Фомы Аквинского</w:t>
      </w:r>
    </w:p>
    <w:p w:rsidR="00872A8C" w:rsidRPr="00872A8C" w:rsidRDefault="00872A8C" w:rsidP="00872A8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2A8C">
        <w:rPr>
          <w:rFonts w:ascii="Times New Roman" w:hAnsi="Times New Roman" w:cs="Times New Roman"/>
          <w:sz w:val="28"/>
          <w:szCs w:val="28"/>
        </w:rPr>
        <w:t xml:space="preserve">Знаменитые пять доказательств бытия Бога приведены в ответе на </w:t>
      </w:r>
      <w:r>
        <w:rPr>
          <w:rFonts w:ascii="Times New Roman" w:hAnsi="Times New Roman" w:cs="Times New Roman"/>
          <w:sz w:val="28"/>
          <w:szCs w:val="28"/>
        </w:rPr>
        <w:t>2 вопрос «О Боге, есть ли Бог»</w:t>
      </w:r>
      <w:r w:rsidRPr="00872A8C">
        <w:rPr>
          <w:rFonts w:ascii="Times New Roman" w:hAnsi="Times New Roman" w:cs="Times New Roman"/>
          <w:sz w:val="28"/>
          <w:szCs w:val="28"/>
        </w:rPr>
        <w:t>) части I трактата «Сумма теологии».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Рассуждения Фомы строятся как последовательное опровержение двух тезисов о небытии Бога: во-первых, если Бог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 xml:space="preserve"> —- 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бесконечное благо, а так как «если бы одна из контрарных противоположностей была бесконечна, то она полностью уничтожила бы другую», следовательно, «если Бог существовал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 xml:space="preserve">бы, нельзя было бы обнаружить никакого зла. Но в мире обнаруживается зло.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Следовательно, Бога не существует»; во-вторых, «все, что мы наблюдаем в мире, &lt;…&gt; может осуществиться и через иные начала, поскольку природные вещи сводятся к началу, которое есть природа, а те, которые осуществляются сообразно сознательному намерению, сводимы к началу, которое есть человеческий разум или воля.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Следовательно, нет никакой необходимости допускать существование Бога».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1. Доказательство через движение</w:t>
      </w:r>
    </w:p>
    <w:p w:rsidR="00872A8C" w:rsidRPr="00872A8C" w:rsidRDefault="00872A8C" w:rsidP="00872A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Первый и наиболее очев</w:t>
      </w:r>
      <w:r>
        <w:rPr>
          <w:rFonts w:ascii="Times New Roman" w:hAnsi="Times New Roman" w:cs="Times New Roman"/>
          <w:sz w:val="28"/>
          <w:szCs w:val="28"/>
        </w:rPr>
        <w:t>идный путь исходит из движения</w:t>
      </w:r>
      <w:r w:rsidRPr="00872A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Несомненно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и подтверждается чувствами, что в мире имеется нечто движимое. Но все, что движимо, движимо чем-то иным. Ибо все, что движется, движется только потому, что находится в потенции к тому, к чему оно движется, а движет нечто постольку, поскольку оно актуально. Ведь движение есть не что иное, кроме как перевод чего-либо из потенции в акт. Но нечто может быть переведено из потенции в акт только неким актуальным сущим. &lt;...&gt; Но невозможно, чтобы одно и то же в отношении одного и того же было одновременно и потенциально, и актуально; оно может быть таковым только в отношении различного. &lt;...&gt; Следовательно, невозможно, чтобы нечто в одном отношении и одним и тем же образом было движущим и движимым, т.е. чтобы оно двигало само себя. Следовательно, все, что движется, должно быть движимо чем-то иным. А если то, благодаря чему нечто движется, [также] движимо, то и оно должно быть движимо чем-то иным, и то иное, [в свою очередь, тоже]. Но так не может продолжаться до бесконечности, поскольку тогда не было бы первого движущего,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следовательно, и какого-либо иного движущего, поскольку вторичные движущие движут лишь постольку, поскольку движимы первым движущим. &lt;...&gt; Следовательно, мы должны необходимо прийти к некоему первому движущему, которое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не движимо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нич</w:t>
      </w:r>
      <w:r>
        <w:rPr>
          <w:rFonts w:ascii="Times New Roman" w:hAnsi="Times New Roman" w:cs="Times New Roman"/>
          <w:sz w:val="28"/>
          <w:szCs w:val="28"/>
        </w:rPr>
        <w:t>ем, а под ним все разумеют Бога.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2. Доказательство через производящую причину</w:t>
      </w:r>
    </w:p>
    <w:p w:rsidR="00872A8C" w:rsidRPr="00872A8C" w:rsidRDefault="00872A8C" w:rsidP="00872A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Второй путь исходит из смыслового содержания действующей причины. В чувственно воспринимаемых вещах мы обнаруживаем порядок действующих причин, но мы не находим того (да это и невозможно), чтобы нечто было действующей причиной в отношении самого себя, поскольку в этом случае оно предшествовало бы себе, что невозможно. Но невозможно и то, чтобы [порядок] действующих причин уход в бесконечность. Поскольку во всех упорядоченных [друг относительно друга] действующих причинах первое есть причина среднего, а среднее - причина последнего (неважно, одно это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>среднее или их много). Но при устранении причины, устраняется и ее следствие. Следовательно, если в [порядке] действующих причин не будет первого, не будет последнего и среднего. Но если [порядок] действующих причин уходит в бесконечность, то не будет первой действующей причины, а потому не будет и последнего следствия и средней действующей причины, что очевидным образом ложно. Следовательно, необходимо допускать некую первую действующую прич</w:t>
      </w:r>
      <w:r>
        <w:rPr>
          <w:rFonts w:ascii="Times New Roman" w:hAnsi="Times New Roman" w:cs="Times New Roman"/>
          <w:sz w:val="28"/>
          <w:szCs w:val="28"/>
        </w:rPr>
        <w:t>ину, которую все называют Богом.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3. Доказательство через необходимость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Третий путь исходит из [смыслового содержания] возможного и необходимого. Мы обнаруживаем среди вещей некие такие, которые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как быть, так и не быть, поскольку мы обнаруживаем, что нечто возникает и разрушается, и, следовательно, может как быть, так и не быть. Но невозможно, чтобы все, что является таковым, было всегда, поскольку то, что может не быть, иногда не есть. Если, следовательно, все может не быть, то когда-то в реальности не было ничего. Но если это истинно, то и сейчас не было бы ничего, поскольку то, чего нет, начинает быть только благодаря тому, что есть; если, следовательно, ничего сущего не было, то невозможно, чтобы нечто начало быть, а потому и сейчас не было бы ничего, что очевидным образом ложно. Следовательно, не все сущие являются возможными, но в реальности должно существовать нечто необходимое. Но все необходимое либо имеет причину своей необходимости в чем-либо еще, либо нет. Но невозможно, чтобы [ряд] необходимых [сущих], имеющих причину своей необходимости [в чем-то еще], уход в бесконечность, как это невозможно в случае действующих причин, что уже доказано. Следовательно, необходимо полагать нечто само-по-себе-необходимое, не имеющее причины необходимости в чем-то еще, но являющееся причиной необходимости прочего. И таковое все называют Богом</w:t>
      </w:r>
      <w:r w:rsidRPr="00872A8C">
        <w:rPr>
          <w:rFonts w:ascii="Times New Roman" w:hAnsi="Times New Roman" w:cs="Times New Roman"/>
          <w:sz w:val="28"/>
          <w:szCs w:val="28"/>
        </w:rPr>
        <w:t>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4. Доказательство от степеней бытия</w:t>
      </w:r>
    </w:p>
    <w:p w:rsidR="00872A8C" w:rsidRPr="00872A8C" w:rsidRDefault="00872A8C" w:rsidP="00872A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2A8C">
        <w:rPr>
          <w:rFonts w:ascii="Times New Roman" w:hAnsi="Times New Roman" w:cs="Times New Roman"/>
          <w:sz w:val="28"/>
          <w:szCs w:val="28"/>
        </w:rPr>
        <w:t>Четвертый путь исходит из степеней [совер</w:t>
      </w:r>
      <w:r>
        <w:rPr>
          <w:rFonts w:ascii="Times New Roman" w:hAnsi="Times New Roman" w:cs="Times New Roman"/>
          <w:sz w:val="28"/>
          <w:szCs w:val="28"/>
        </w:rPr>
        <w:t>шенств], обнаруживаемых в вещах</w:t>
      </w:r>
      <w:r w:rsidRPr="00872A8C">
        <w:rPr>
          <w:rFonts w:ascii="Times New Roman" w:hAnsi="Times New Roman" w:cs="Times New Roman"/>
          <w:sz w:val="28"/>
          <w:szCs w:val="28"/>
        </w:rPr>
        <w:t xml:space="preserve">. Среди вещей обнаруживаются более и менее благие, истинные, благородные и т.д. Но «более» и «менее» сказывается о различных [вещах] в соответствии с их различной степенью приближения к тому, что является наибольшим. &lt;...&gt; Следовательно, существует нечто наиболее истинное, наилучшее и благороднейшее и, следовательно,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в высшей степени сущее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&lt;...&gt;. Но то, что называется наибольшим в определенном роде, есть причина всего того, что относится к этому роду. &lt;...&gt; Следовательно, существует </w:t>
      </w:r>
      <w:r w:rsidRPr="00872A8C">
        <w:rPr>
          <w:rFonts w:ascii="Times New Roman" w:hAnsi="Times New Roman" w:cs="Times New Roman"/>
          <w:sz w:val="28"/>
          <w:szCs w:val="28"/>
        </w:rPr>
        <w:lastRenderedPageBreak/>
        <w:t>нечто, являющееся причиной бытия всех сущих, а также их благости и всяческого совершенства. И</w:t>
      </w:r>
      <w:r w:rsidRPr="00872A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2A8C">
        <w:rPr>
          <w:rFonts w:ascii="Times New Roman" w:hAnsi="Times New Roman" w:cs="Times New Roman"/>
          <w:sz w:val="28"/>
          <w:szCs w:val="28"/>
        </w:rPr>
        <w:t>таковое</w:t>
      </w:r>
      <w:r w:rsidRPr="00872A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2A8C">
        <w:rPr>
          <w:rFonts w:ascii="Times New Roman" w:hAnsi="Times New Roman" w:cs="Times New Roman"/>
          <w:sz w:val="28"/>
          <w:szCs w:val="28"/>
        </w:rPr>
        <w:t>мы</w:t>
      </w:r>
      <w:r w:rsidRPr="00872A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2A8C">
        <w:rPr>
          <w:rFonts w:ascii="Times New Roman" w:hAnsi="Times New Roman" w:cs="Times New Roman"/>
          <w:sz w:val="28"/>
          <w:szCs w:val="28"/>
        </w:rPr>
        <w:t>называем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>5. Доказательство через целевую причину</w:t>
      </w: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72A8C" w:rsidRPr="00872A8C" w:rsidRDefault="00872A8C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72A8C">
        <w:rPr>
          <w:rFonts w:ascii="Times New Roman" w:hAnsi="Times New Roman" w:cs="Times New Roman"/>
          <w:sz w:val="28"/>
          <w:szCs w:val="28"/>
        </w:rPr>
        <w:t xml:space="preserve">Пятый путь исходит из управления вещами [универсума]. Мы видим, что нечто, лишенное познавательной способности, а именно природные тела, действуют ради цели, что очевидно из того, что они всегда или почти всегда действуют одним и тем же образом, так, что стремятся к тому, что является [для них] лучшим. Поэтому ясно, что они движутся к цели не случайно, но намеренно. Но то, что лишено познавательной способности, может стремиться к цели только в том случае, если оно направляемо кем-то познающим и мыслящим &lt;...&gt;. </w:t>
      </w:r>
      <w:proofErr w:type="gramStart"/>
      <w:r w:rsidRPr="00872A8C">
        <w:rPr>
          <w:rFonts w:ascii="Times New Roman" w:hAnsi="Times New Roman" w:cs="Times New Roman"/>
          <w:sz w:val="28"/>
          <w:szCs w:val="28"/>
        </w:rPr>
        <w:t>Следовательно, существует нечто мыслящее, которым все природные вещи направляются к [своей] цели.</w:t>
      </w:r>
      <w:proofErr w:type="gramEnd"/>
      <w:r w:rsidRPr="00872A8C">
        <w:rPr>
          <w:rFonts w:ascii="Times New Roman" w:hAnsi="Times New Roman" w:cs="Times New Roman"/>
          <w:sz w:val="28"/>
          <w:szCs w:val="28"/>
        </w:rPr>
        <w:t xml:space="preserve"> И таковое мы называем Богом</w:t>
      </w:r>
    </w:p>
    <w:p w:rsidR="00A53361" w:rsidRPr="00872A8C" w:rsidRDefault="00D94167" w:rsidP="00872A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3361" w:rsidRPr="0087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F0"/>
    <w:rsid w:val="0048448B"/>
    <w:rsid w:val="00642C80"/>
    <w:rsid w:val="00872A8C"/>
    <w:rsid w:val="00BE6AB1"/>
    <w:rsid w:val="00D94167"/>
    <w:rsid w:val="00DB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3</cp:revision>
  <cp:lastPrinted>2015-04-13T11:04:00Z</cp:lastPrinted>
  <dcterms:created xsi:type="dcterms:W3CDTF">2015-04-13T10:54:00Z</dcterms:created>
  <dcterms:modified xsi:type="dcterms:W3CDTF">2015-04-13T11:06:00Z</dcterms:modified>
</cp:coreProperties>
</file>